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1E527857"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102C9B">
        <w:rPr>
          <w:rFonts w:ascii="Times New Roman" w:eastAsia="Times New Roman" w:hAnsi="Times New Roman" w:cs="Times New Roman"/>
          <w:sz w:val="24"/>
          <w:szCs w:val="24"/>
          <w:lang w:eastAsia="en-GB"/>
        </w:rPr>
        <w:t xml:space="preserve"> 155/47678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102C9B">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27D39646"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837C6B">
        <w:rPr>
          <w:rFonts w:ascii="Times New Roman" w:eastAsia="Times New Roman" w:hAnsi="Times New Roman" w:cs="Times New Roman"/>
          <w:b/>
          <w:bCs/>
          <w:sz w:val="24"/>
          <w:szCs w:val="24"/>
          <w:lang w:eastAsia="en-GB"/>
        </w:rPr>
        <w:t>V</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10,</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39E9CE0C"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FE621C" w:rsidRPr="00FE621C">
        <w:rPr>
          <w:rFonts w:ascii="Times New Roman" w:hAnsi="Times New Roman" w:cs="Times New Roman"/>
          <w:b/>
          <w:bCs/>
          <w:sz w:val="24"/>
          <w:szCs w:val="24"/>
          <w:lang w:eastAsia="en-GB"/>
        </w:rPr>
        <w:t>37.800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FE621C">
        <w:rPr>
          <w:rFonts w:ascii="Times New Roman" w:hAnsi="Times New Roman" w:cs="Times New Roman"/>
          <w:b/>
          <w:bCs/>
          <w:sz w:val="24"/>
          <w:szCs w:val="24"/>
          <w:lang w:eastAsia="en-GB"/>
        </w:rPr>
        <w:t>7.182</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4C7A869F"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EB31EB">
        <w:rPr>
          <w:rFonts w:ascii="Times New Roman" w:hAnsi="Times New Roman" w:cs="Times New Roman"/>
          <w:b/>
          <w:bCs/>
          <w:sz w:val="24"/>
          <w:szCs w:val="24"/>
          <w:lang w:eastAsia="ro-RO"/>
        </w:rPr>
        <w:t>36.300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la care se adauga TVA in valoare de</w:t>
      </w:r>
      <w:r w:rsidR="00EB31EB">
        <w:rPr>
          <w:rFonts w:ascii="Times New Roman" w:hAnsi="Times New Roman" w:cs="Times New Roman"/>
          <w:sz w:val="24"/>
          <w:szCs w:val="24"/>
          <w:lang w:eastAsia="ro-RO"/>
        </w:rPr>
        <w:t xml:space="preserve"> </w:t>
      </w:r>
      <w:r w:rsidR="00EB31EB" w:rsidRPr="00EB31EB">
        <w:rPr>
          <w:rFonts w:ascii="Times New Roman" w:hAnsi="Times New Roman" w:cs="Times New Roman"/>
          <w:b/>
          <w:bCs/>
          <w:sz w:val="24"/>
          <w:szCs w:val="24"/>
          <w:lang w:eastAsia="ro-RO"/>
        </w:rPr>
        <w:t>6897</w:t>
      </w:r>
      <w:r w:rsidR="00500621" w:rsidRPr="00AC3AB6">
        <w:rPr>
          <w:rFonts w:ascii="Times New Roman" w:hAnsi="Times New Roman" w:cs="Times New Roman"/>
          <w:sz w:val="24"/>
          <w:szCs w:val="24"/>
          <w:lang w:eastAsia="ro-RO"/>
        </w:rPr>
        <w:t xml:space="preserve"> </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77369CCC" w14:textId="77777777" w:rsidR="002A6C34" w:rsidRPr="002A6C34" w:rsidRDefault="002A6C34" w:rsidP="002A6C34">
      <w:pPr>
        <w:suppressAutoHyphens w:val="0"/>
        <w:spacing w:after="0" w:line="240" w:lineRule="auto"/>
        <w:ind w:left="640"/>
        <w:contextualSpacing/>
        <w:jc w:val="both"/>
        <w:textAlignment w:val="auto"/>
        <w:rPr>
          <w:rFonts w:ascii="Times New Roman" w:hAnsi="Times New Roman" w:cs="Times New Roman"/>
          <w:sz w:val="24"/>
          <w:szCs w:val="24"/>
          <w:lang w:eastAsia="ro-RO"/>
        </w:rPr>
      </w:pPr>
      <w:r w:rsidRPr="002A6C34">
        <w:rPr>
          <w:rFonts w:ascii="Times New Roman" w:hAnsi="Times New Roman" w:cs="Times New Roman"/>
          <w:sz w:val="24"/>
          <w:szCs w:val="24"/>
          <w:lang w:eastAsia="en-GB"/>
        </w:rPr>
        <w:t xml:space="preserve">- documentatiile pentru obtinerea certificatului de urbanism, studii si documentatii pentru obtinerea avizelor prevazute in certificatul de urbanism în sumă de </w:t>
      </w:r>
      <w:r w:rsidRPr="002A6C34">
        <w:rPr>
          <w:rFonts w:ascii="Times New Roman" w:hAnsi="Times New Roman" w:cs="Times New Roman"/>
          <w:b/>
          <w:bCs/>
          <w:sz w:val="24"/>
          <w:szCs w:val="24"/>
          <w:lang w:eastAsia="en-GB"/>
        </w:rPr>
        <w:t>200 lei</w:t>
      </w:r>
      <w:r w:rsidRPr="002A6C34">
        <w:rPr>
          <w:rFonts w:ascii="Times New Roman" w:hAnsi="Times New Roman" w:cs="Times New Roman"/>
          <w:sz w:val="24"/>
          <w:szCs w:val="24"/>
          <w:lang w:eastAsia="en-GB"/>
        </w:rPr>
        <w:t xml:space="preserve">, la care se adaugă TVA în valoare de </w:t>
      </w:r>
      <w:r w:rsidRPr="002A6C34">
        <w:rPr>
          <w:rFonts w:ascii="Times New Roman" w:hAnsi="Times New Roman" w:cs="Times New Roman"/>
          <w:b/>
          <w:bCs/>
          <w:sz w:val="24"/>
          <w:szCs w:val="24"/>
          <w:lang w:eastAsia="en-GB"/>
        </w:rPr>
        <w:t>38 lei</w:t>
      </w:r>
      <w:r w:rsidRPr="002A6C34">
        <w:rPr>
          <w:rFonts w:ascii="Times New Roman" w:hAnsi="Times New Roman" w:cs="Times New Roman"/>
          <w:sz w:val="24"/>
          <w:szCs w:val="24"/>
          <w:lang w:eastAsia="en-GB"/>
        </w:rPr>
        <w:t>, conform prevederilor legale;</w:t>
      </w: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25A6F906"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735226">
        <w:rPr>
          <w:rFonts w:ascii="Times New Roman" w:hAnsi="Times New Roman" w:cs="Times New Roman"/>
          <w:b/>
          <w:bCs/>
          <w:sz w:val="24"/>
          <w:szCs w:val="24"/>
          <w:lang w:eastAsia="en-GB"/>
        </w:rPr>
        <w:t>21.660</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735226">
        <w:rPr>
          <w:rFonts w:ascii="Times New Roman" w:hAnsi="Times New Roman" w:cs="Times New Roman"/>
          <w:b/>
          <w:bCs/>
          <w:sz w:val="24"/>
          <w:szCs w:val="24"/>
          <w:lang w:eastAsia="en-GB"/>
        </w:rPr>
        <w:t>4.115,4</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66708AF5"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735226">
        <w:rPr>
          <w:rFonts w:ascii="Times New Roman" w:hAnsi="Times New Roman" w:cs="Times New Roman"/>
          <w:b/>
          <w:bCs/>
          <w:sz w:val="24"/>
          <w:szCs w:val="24"/>
          <w:lang w:eastAsia="en-GB"/>
        </w:rPr>
        <w:t>5.776</w:t>
      </w:r>
      <w:r w:rsidR="00837C6B">
        <w:rPr>
          <w:rFonts w:ascii="Times New Roman" w:hAnsi="Times New Roman" w:cs="Times New Roman"/>
          <w:b/>
          <w:bCs/>
          <w:sz w:val="24"/>
          <w:szCs w:val="24"/>
          <w:lang w:eastAsia="en-GB"/>
        </w:rPr>
        <w:t xml:space="preserve"> </w:t>
      </w:r>
      <w:r w:rsidR="006A2346" w:rsidRPr="004973EE">
        <w:rPr>
          <w:rFonts w:ascii="Times New Roman" w:hAnsi="Times New Roman" w:cs="Times New Roman"/>
          <w:b/>
          <w:bCs/>
          <w:sz w:val="24"/>
          <w:szCs w:val="24"/>
          <w:lang w:eastAsia="en-GB"/>
        </w:rPr>
        <w:t>lei</w:t>
      </w:r>
      <w:r w:rsidR="006A2346" w:rsidRPr="00AC3AB6">
        <w:rPr>
          <w:rFonts w:ascii="Times New Roman" w:hAnsi="Times New Roman" w:cs="Times New Roman"/>
          <w:sz w:val="24"/>
          <w:szCs w:val="24"/>
          <w:lang w:eastAsia="en-GB"/>
        </w:rPr>
        <w:t xml:space="preserve">, la care se adaugă TVA în valoare de </w:t>
      </w:r>
      <w:r w:rsidR="00735226">
        <w:rPr>
          <w:rFonts w:ascii="Times New Roman" w:hAnsi="Times New Roman" w:cs="Times New Roman"/>
          <w:b/>
          <w:bCs/>
          <w:sz w:val="24"/>
          <w:szCs w:val="24"/>
          <w:lang w:eastAsia="en-GB"/>
        </w:rPr>
        <w:t>1097,4</w:t>
      </w:r>
      <w:r w:rsidR="0000465B">
        <w:rPr>
          <w:rFonts w:ascii="Times New Roman" w:hAnsi="Times New Roman" w:cs="Times New Roman"/>
          <w:b/>
          <w:bCs/>
          <w:sz w:val="24"/>
          <w:szCs w:val="24"/>
          <w:lang w:eastAsia="en-GB"/>
        </w:rPr>
        <w:t>4</w:t>
      </w:r>
      <w:r w:rsidR="006A2346" w:rsidRPr="005E7FB8">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0AA6ABB2"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735226">
        <w:rPr>
          <w:rFonts w:ascii="Times New Roman" w:hAnsi="Times New Roman" w:cs="Times New Roman"/>
          <w:b/>
          <w:bCs/>
          <w:sz w:val="24"/>
          <w:szCs w:val="24"/>
          <w:lang w:eastAsia="en-GB"/>
        </w:rPr>
        <w:t>8.664</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735226">
        <w:rPr>
          <w:rFonts w:ascii="Times New Roman" w:hAnsi="Times New Roman" w:cs="Times New Roman"/>
          <w:b/>
          <w:bCs/>
          <w:sz w:val="24"/>
          <w:szCs w:val="24"/>
          <w:lang w:eastAsia="en-GB"/>
        </w:rPr>
        <w:t>1.646,</w:t>
      </w:r>
      <w:r w:rsidR="0000465B">
        <w:rPr>
          <w:rFonts w:ascii="Times New Roman" w:hAnsi="Times New Roman" w:cs="Times New Roman"/>
          <w:b/>
          <w:bCs/>
          <w:sz w:val="24"/>
          <w:szCs w:val="24"/>
          <w:lang w:eastAsia="en-GB"/>
        </w:rPr>
        <w:t>16</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90AB" w14:textId="77777777" w:rsidR="00BD4980" w:rsidRDefault="00BD4980">
      <w:pPr>
        <w:spacing w:after="0" w:line="240" w:lineRule="auto"/>
      </w:pPr>
      <w:r>
        <w:separator/>
      </w:r>
    </w:p>
  </w:endnote>
  <w:endnote w:type="continuationSeparator" w:id="0">
    <w:p w14:paraId="6D6A8064" w14:textId="77777777" w:rsidR="00BD4980" w:rsidRDefault="00BD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673B" w14:textId="77777777" w:rsidR="00BD4980" w:rsidRDefault="00BD4980">
      <w:pPr>
        <w:spacing w:after="0" w:line="240" w:lineRule="auto"/>
      </w:pPr>
      <w:r>
        <w:rPr>
          <w:color w:val="000000"/>
        </w:rPr>
        <w:separator/>
      </w:r>
    </w:p>
  </w:footnote>
  <w:footnote w:type="continuationSeparator" w:id="0">
    <w:p w14:paraId="42743EED" w14:textId="77777777" w:rsidR="00BD4980" w:rsidRDefault="00BD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0465B"/>
    <w:rsid w:val="00015F25"/>
    <w:rsid w:val="00027E59"/>
    <w:rsid w:val="0004072D"/>
    <w:rsid w:val="00077167"/>
    <w:rsid w:val="000D10D2"/>
    <w:rsid w:val="000E55DF"/>
    <w:rsid w:val="00100FB5"/>
    <w:rsid w:val="00102C9B"/>
    <w:rsid w:val="00146322"/>
    <w:rsid w:val="00152D11"/>
    <w:rsid w:val="00167A27"/>
    <w:rsid w:val="001716D5"/>
    <w:rsid w:val="001B1A3A"/>
    <w:rsid w:val="001B75EA"/>
    <w:rsid w:val="001C2202"/>
    <w:rsid w:val="001F2FB7"/>
    <w:rsid w:val="002223A8"/>
    <w:rsid w:val="002273CC"/>
    <w:rsid w:val="0026730A"/>
    <w:rsid w:val="002732CB"/>
    <w:rsid w:val="00282410"/>
    <w:rsid w:val="00297052"/>
    <w:rsid w:val="002A58AE"/>
    <w:rsid w:val="002A66C9"/>
    <w:rsid w:val="002A6C34"/>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E33AA"/>
    <w:rsid w:val="005E7FB8"/>
    <w:rsid w:val="00610C3B"/>
    <w:rsid w:val="006446F0"/>
    <w:rsid w:val="006704CA"/>
    <w:rsid w:val="00681A35"/>
    <w:rsid w:val="00686D9C"/>
    <w:rsid w:val="00690ABA"/>
    <w:rsid w:val="006A2346"/>
    <w:rsid w:val="006A2BCD"/>
    <w:rsid w:val="006B0AE0"/>
    <w:rsid w:val="006B1F72"/>
    <w:rsid w:val="006C7774"/>
    <w:rsid w:val="006E6347"/>
    <w:rsid w:val="00723F6F"/>
    <w:rsid w:val="00735226"/>
    <w:rsid w:val="0073670B"/>
    <w:rsid w:val="00755296"/>
    <w:rsid w:val="00760D65"/>
    <w:rsid w:val="00761D33"/>
    <w:rsid w:val="007856A0"/>
    <w:rsid w:val="007C62A4"/>
    <w:rsid w:val="007C7C87"/>
    <w:rsid w:val="007D04CA"/>
    <w:rsid w:val="00813468"/>
    <w:rsid w:val="00813B4F"/>
    <w:rsid w:val="00817F84"/>
    <w:rsid w:val="0083257F"/>
    <w:rsid w:val="00837C6B"/>
    <w:rsid w:val="00840910"/>
    <w:rsid w:val="0086244A"/>
    <w:rsid w:val="0086276D"/>
    <w:rsid w:val="00867DAD"/>
    <w:rsid w:val="008A3A3F"/>
    <w:rsid w:val="008A7112"/>
    <w:rsid w:val="008D04B4"/>
    <w:rsid w:val="008D095E"/>
    <w:rsid w:val="008D15B0"/>
    <w:rsid w:val="008D17A0"/>
    <w:rsid w:val="008F1F86"/>
    <w:rsid w:val="008F2FB9"/>
    <w:rsid w:val="008F6785"/>
    <w:rsid w:val="009129B4"/>
    <w:rsid w:val="00943EFD"/>
    <w:rsid w:val="00945554"/>
    <w:rsid w:val="00947ABD"/>
    <w:rsid w:val="009830BE"/>
    <w:rsid w:val="009910CA"/>
    <w:rsid w:val="009B14C9"/>
    <w:rsid w:val="009B4DCA"/>
    <w:rsid w:val="009C76AC"/>
    <w:rsid w:val="009D74E7"/>
    <w:rsid w:val="00A0040A"/>
    <w:rsid w:val="00A042BF"/>
    <w:rsid w:val="00A10C4D"/>
    <w:rsid w:val="00A12435"/>
    <w:rsid w:val="00A20B59"/>
    <w:rsid w:val="00A2102E"/>
    <w:rsid w:val="00A329D7"/>
    <w:rsid w:val="00A47579"/>
    <w:rsid w:val="00A5355D"/>
    <w:rsid w:val="00A64DD7"/>
    <w:rsid w:val="00A845C8"/>
    <w:rsid w:val="00AA076B"/>
    <w:rsid w:val="00AC3AB6"/>
    <w:rsid w:val="00B310D5"/>
    <w:rsid w:val="00B5206B"/>
    <w:rsid w:val="00B85448"/>
    <w:rsid w:val="00BA04B0"/>
    <w:rsid w:val="00BC036F"/>
    <w:rsid w:val="00BC44E6"/>
    <w:rsid w:val="00BD315E"/>
    <w:rsid w:val="00BD4980"/>
    <w:rsid w:val="00BD584C"/>
    <w:rsid w:val="00BE4243"/>
    <w:rsid w:val="00BE48E0"/>
    <w:rsid w:val="00BE7323"/>
    <w:rsid w:val="00C13E43"/>
    <w:rsid w:val="00C277D3"/>
    <w:rsid w:val="00C27B87"/>
    <w:rsid w:val="00C53D99"/>
    <w:rsid w:val="00C67E1D"/>
    <w:rsid w:val="00C71EEC"/>
    <w:rsid w:val="00C768E1"/>
    <w:rsid w:val="00C85B7E"/>
    <w:rsid w:val="00CA4D36"/>
    <w:rsid w:val="00CE3AE2"/>
    <w:rsid w:val="00CF277F"/>
    <w:rsid w:val="00CF387A"/>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B31EB"/>
    <w:rsid w:val="00EC05F5"/>
    <w:rsid w:val="00ED1037"/>
    <w:rsid w:val="00ED61E7"/>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 w:id="11531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10100</Words>
  <Characters>58580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26</cp:revision>
  <cp:lastPrinted>2023-07-07T05:09:00Z</cp:lastPrinted>
  <dcterms:created xsi:type="dcterms:W3CDTF">2022-12-06T11:26:00Z</dcterms:created>
  <dcterms:modified xsi:type="dcterms:W3CDTF">2023-07-28T07:03:00Z</dcterms:modified>
</cp:coreProperties>
</file>